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36540F1"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0B1A55">
        <w:rPr>
          <w:bCs/>
          <w:noProof w:val="0"/>
          <w:sz w:val="24"/>
          <w:szCs w:val="24"/>
        </w:rPr>
        <w:t>0675</w:t>
      </w:r>
    </w:p>
    <w:p w14:paraId="11776FA6" w14:textId="14EB1424"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7D76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3D2B">
        <w:rPr>
          <w:rFonts w:cs="Arial"/>
          <w:b/>
          <w:bCs/>
          <w:sz w:val="24"/>
          <w:lang w:eastAsia="ja-JP"/>
        </w:rPr>
        <w:t>7.8.</w:t>
      </w:r>
      <w:r w:rsidR="00F7443B">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9D0D9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1A55">
        <w:rPr>
          <w:rFonts w:ascii="Arial" w:hAnsi="Arial" w:cs="Arial"/>
          <w:b/>
          <w:bCs/>
          <w:sz w:val="24"/>
        </w:rPr>
        <w:t xml:space="preserve">Resolving Remaining </w:t>
      </w:r>
      <w:r w:rsidR="00DC24D0">
        <w:rPr>
          <w:rFonts w:ascii="Arial" w:hAnsi="Arial" w:cs="Arial"/>
          <w:b/>
          <w:bCs/>
          <w:sz w:val="24"/>
        </w:rPr>
        <w:t>O</w:t>
      </w:r>
      <w:r w:rsidR="009A4C4D">
        <w:rPr>
          <w:rFonts w:ascii="Arial" w:hAnsi="Arial" w:cs="Arial"/>
          <w:b/>
          <w:bCs/>
          <w:sz w:val="24"/>
        </w:rPr>
        <w:t>pen Issues for Rel-18 UAV UEs</w:t>
      </w:r>
      <w:r w:rsidR="006E66A6">
        <w:rPr>
          <w:rFonts w:ascii="Arial" w:hAnsi="Arial" w:cs="Arial"/>
          <w:b/>
          <w:bCs/>
          <w:sz w:val="24"/>
        </w:rPr>
        <w:t xml:space="preserve"> </w:t>
      </w:r>
      <w:r w:rsidR="002862E0">
        <w:rPr>
          <w:rFonts w:ascii="Arial" w:hAnsi="Arial" w:cs="Arial"/>
          <w:b/>
          <w:bCs/>
          <w:sz w:val="24"/>
        </w:rPr>
        <w:t>C</w:t>
      </w:r>
      <w:r w:rsidR="006E66A6">
        <w:rPr>
          <w:rFonts w:ascii="Arial" w:hAnsi="Arial" w:cs="Arial"/>
          <w:b/>
          <w:bCs/>
          <w:sz w:val="24"/>
        </w:rPr>
        <w:t>apabilities</w:t>
      </w:r>
    </w:p>
    <w:p w14:paraId="25F387E8" w14:textId="0CD6080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53D2B" w:rsidRPr="00253D2B">
        <w:rPr>
          <w:rFonts w:ascii="Arial" w:hAnsi="Arial" w:cs="Arial"/>
          <w:b/>
          <w:bCs/>
          <w:sz w:val="24"/>
        </w:rPr>
        <w:t>NR_UAV-Core</w:t>
      </w:r>
      <w:r w:rsidRPr="00112F1A">
        <w:rPr>
          <w:rFonts w:ascii="Arial" w:hAnsi="Arial" w:cs="Arial"/>
          <w:b/>
          <w:bCs/>
          <w:sz w:val="24"/>
        </w:rPr>
        <w:t xml:space="preserve"> </w:t>
      </w:r>
      <w:r>
        <w:rPr>
          <w:rFonts w:ascii="Arial" w:hAnsi="Arial" w:cs="Arial"/>
          <w:b/>
          <w:bCs/>
          <w:sz w:val="24"/>
        </w:rPr>
        <w:t xml:space="preserve">- Release </w:t>
      </w:r>
      <w:r w:rsidR="00253D2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5F904AA" w:rsidR="009339CB" w:rsidRDefault="006234F2" w:rsidP="006234F2">
      <w:r>
        <w:t xml:space="preserve">Some aspects for Rel-18 UAV UEs have remained open after RAN2#124 (November 2024). In this paper we bring them </w:t>
      </w:r>
      <w:r w:rsidR="00FD2FF0">
        <w:t xml:space="preserve">again </w:t>
      </w:r>
      <w:r>
        <w:t xml:space="preserve">to RAN2 attention and propose </w:t>
      </w:r>
      <w:r w:rsidR="00FD2FF0">
        <w:t xml:space="preserve">simple </w:t>
      </w:r>
      <w:r>
        <w:t>resolutions</w:t>
      </w:r>
      <w:r w:rsidR="009339CB">
        <w:t>.</w:t>
      </w:r>
    </w:p>
    <w:p w14:paraId="7D484B6E" w14:textId="5FF831A8" w:rsidR="009339CB" w:rsidRDefault="009339CB" w:rsidP="009339CB">
      <w:pPr>
        <w:pStyle w:val="Heading1"/>
      </w:pPr>
      <w:r w:rsidRPr="006E13D1">
        <w:t>2</w:t>
      </w:r>
      <w:r w:rsidRPr="006E13D1">
        <w:tab/>
      </w:r>
      <w:r w:rsidR="00F7602C">
        <w:t>Discussion</w:t>
      </w:r>
    </w:p>
    <w:p w14:paraId="72F093F7" w14:textId="2CD4875C" w:rsidR="001345E5" w:rsidRDefault="00281578" w:rsidP="00281578">
      <w:r>
        <w:t>In the following subsections we share our views</w:t>
      </w:r>
      <w:r w:rsidR="00541144">
        <w:t xml:space="preserve"> regarding </w:t>
      </w:r>
      <w:r w:rsidR="001345E5">
        <w:t>open issues</w:t>
      </w:r>
      <w:r w:rsidR="00FD2FF0">
        <w:t xml:space="preserve"> that remained</w:t>
      </w:r>
      <w:r w:rsidR="001345E5">
        <w:t xml:space="preserve"> a</w:t>
      </w:r>
      <w:r w:rsidR="00FD2FF0">
        <w:t>fter</w:t>
      </w:r>
      <w:r w:rsidR="001345E5">
        <w:t xml:space="preserve"> RAN2#124.</w:t>
      </w:r>
    </w:p>
    <w:p w14:paraId="6FB9D5D8" w14:textId="4035A2CC" w:rsidR="001345E5" w:rsidRDefault="001345E5" w:rsidP="001345E5">
      <w:pPr>
        <w:pStyle w:val="Heading3"/>
      </w:pPr>
      <w:r>
        <w:t xml:space="preserve">2.1 </w:t>
      </w:r>
      <w:r w:rsidR="005850A0">
        <w:tab/>
      </w:r>
      <w:r>
        <w:t xml:space="preserve">On </w:t>
      </w:r>
      <w:r w:rsidR="001B7B52">
        <w:t>Capability for NS value</w:t>
      </w:r>
      <w:r w:rsidR="002862E0">
        <w:t>s</w:t>
      </w:r>
    </w:p>
    <w:p w14:paraId="2AF1D1C3" w14:textId="71A55674" w:rsidR="001345E5" w:rsidRDefault="00723C9A" w:rsidP="00281578">
      <w:r>
        <w:t xml:space="preserve">At RAN2#124 </w:t>
      </w:r>
      <w:r w:rsidR="001B7B52">
        <w:t>such</w:t>
      </w:r>
      <w:r>
        <w:t xml:space="preserve"> FFS aspect has been noted</w:t>
      </w:r>
      <w:r w:rsidR="001B7B52">
        <w:t xml:space="preserve"> </w:t>
      </w:r>
      <w:r w:rsidR="001B7B52">
        <w:fldChar w:fldCharType="begin"/>
      </w:r>
      <w:r w:rsidR="001B7B52">
        <w:instrText xml:space="preserve"> REF _Ref158671668 \r \h </w:instrText>
      </w:r>
      <w:r w:rsidR="001B7B52">
        <w:fldChar w:fldCharType="separate"/>
      </w:r>
      <w:r w:rsidR="001B7B52">
        <w:t>[1]</w:t>
      </w:r>
      <w:r w:rsidR="001B7B52">
        <w:fldChar w:fldCharType="end"/>
      </w:r>
      <w:r>
        <w:t xml:space="preserve">: </w:t>
      </w:r>
    </w:p>
    <w:tbl>
      <w:tblPr>
        <w:tblStyle w:val="TableGrid"/>
        <w:tblW w:w="0" w:type="auto"/>
        <w:tblLook w:val="04A0" w:firstRow="1" w:lastRow="0" w:firstColumn="1" w:lastColumn="0" w:noHBand="0" w:noVBand="1"/>
      </w:tblPr>
      <w:tblGrid>
        <w:gridCol w:w="9857"/>
      </w:tblGrid>
      <w:tr w:rsidR="00723C9A" w14:paraId="370EB9B1" w14:textId="77777777" w:rsidTr="00723C9A">
        <w:tc>
          <w:tcPr>
            <w:tcW w:w="9857" w:type="dxa"/>
          </w:tcPr>
          <w:p w14:paraId="66A730F9" w14:textId="2F1D86E9" w:rsidR="00723C9A" w:rsidRDefault="00723C9A" w:rsidP="00723C9A">
            <w:r>
              <w:t xml:space="preserve">- Understanding is that a UE that doesn’t support any frequency band that requires </w:t>
            </w:r>
            <w:proofErr w:type="spellStart"/>
            <w:proofErr w:type="gramStart"/>
            <w:r>
              <w:t>a</w:t>
            </w:r>
            <w:proofErr w:type="spellEnd"/>
            <w:proofErr w:type="gramEnd"/>
            <w:r>
              <w:t xml:space="preserve"> aerial specific NS value, doesn’t need to implement the procedure for NS value.  </w:t>
            </w:r>
            <w:r w:rsidRPr="001B7B52">
              <w:rPr>
                <w:highlight w:val="yellow"/>
              </w:rPr>
              <w:t>FFS</w:t>
            </w:r>
            <w:r>
              <w:t xml:space="preserve"> whether a capability need is needed.  </w:t>
            </w:r>
          </w:p>
        </w:tc>
      </w:tr>
    </w:tbl>
    <w:p w14:paraId="189BAE46" w14:textId="59FF4D1F" w:rsidR="006E66A6" w:rsidRDefault="009D6802" w:rsidP="00281578">
      <w:r>
        <w:br/>
      </w:r>
      <w:r w:rsidR="006E66A6">
        <w:t xml:space="preserve">In </w:t>
      </w:r>
      <w:r w:rsidR="006E66A6">
        <w:fldChar w:fldCharType="begin"/>
      </w:r>
      <w:r w:rsidR="006E66A6">
        <w:instrText xml:space="preserve"> REF _Ref158307566 \r \h </w:instrText>
      </w:r>
      <w:r w:rsidR="006E66A6">
        <w:fldChar w:fldCharType="separate"/>
      </w:r>
      <w:r w:rsidR="006E66A6">
        <w:t>[2]</w:t>
      </w:r>
      <w:r w:rsidR="006E66A6">
        <w:fldChar w:fldCharType="end"/>
      </w:r>
      <w:r w:rsidR="006E66A6">
        <w:t xml:space="preserve"> there is a capability added</w:t>
      </w:r>
      <w:r w:rsidR="00C84CE4">
        <w:t>, but it is still</w:t>
      </w:r>
      <w:r w:rsidR="006E66A6">
        <w:t xml:space="preserve"> called a “placeholder”:</w:t>
      </w:r>
    </w:p>
    <w:tbl>
      <w:tblPr>
        <w:tblStyle w:val="TableGrid"/>
        <w:tblW w:w="0" w:type="auto"/>
        <w:tblLook w:val="04A0" w:firstRow="1" w:lastRow="0" w:firstColumn="1" w:lastColumn="0" w:noHBand="0" w:noVBand="1"/>
      </w:tblPr>
      <w:tblGrid>
        <w:gridCol w:w="9857"/>
      </w:tblGrid>
      <w:tr w:rsidR="006E66A6" w14:paraId="3678277B" w14:textId="77777777" w:rsidTr="006E66A6">
        <w:tc>
          <w:tcPr>
            <w:tcW w:w="9857" w:type="dxa"/>
          </w:tcPr>
          <w:p w14:paraId="73460EBA" w14:textId="77777777"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6A6">
              <w:rPr>
                <w:rFonts w:ascii="Courier New" w:hAnsi="Courier New"/>
                <w:noProof/>
                <w:sz w:val="16"/>
                <w:lang w:eastAsia="en-GB"/>
              </w:rPr>
              <w:t xml:space="preserve">    nr-NS-PmaxListAerial-r18                      </w:t>
            </w:r>
            <w:r w:rsidRPr="006E66A6">
              <w:rPr>
                <w:rFonts w:ascii="Courier New" w:hAnsi="Courier New"/>
                <w:noProof/>
                <w:color w:val="993366"/>
                <w:sz w:val="16"/>
                <w:lang w:eastAsia="en-GB"/>
              </w:rPr>
              <w:t>ENUMERATED</w:t>
            </w:r>
            <w:r w:rsidRPr="006E66A6">
              <w:rPr>
                <w:rFonts w:ascii="Courier New" w:hAnsi="Courier New"/>
                <w:noProof/>
                <w:sz w:val="16"/>
                <w:lang w:eastAsia="en-GB"/>
              </w:rPr>
              <w:t xml:space="preserve"> {supported}                               </w:t>
            </w:r>
            <w:r w:rsidRPr="006E66A6">
              <w:rPr>
                <w:rFonts w:ascii="Courier New" w:hAnsi="Courier New"/>
                <w:noProof/>
                <w:color w:val="993366"/>
                <w:sz w:val="16"/>
                <w:lang w:eastAsia="en-GB"/>
              </w:rPr>
              <w:t>OPTIONAL</w:t>
            </w:r>
            <w:r w:rsidRPr="006E66A6">
              <w:rPr>
                <w:rFonts w:ascii="Courier New" w:hAnsi="Courier New"/>
                <w:noProof/>
                <w:sz w:val="16"/>
                <w:lang w:eastAsia="en-GB"/>
              </w:rPr>
              <w:t xml:space="preserve">, </w:t>
            </w:r>
            <w:r w:rsidRPr="006E66A6">
              <w:rPr>
                <w:rFonts w:ascii="Courier New" w:hAnsi="Courier New"/>
                <w:noProof/>
                <w:color w:val="808080"/>
                <w:sz w:val="16"/>
                <w:lang w:eastAsia="en-GB"/>
              </w:rPr>
              <w:t>-- Editor's Note:</w:t>
            </w:r>
          </w:p>
          <w:p w14:paraId="61AFFA7E" w14:textId="77777777"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6A6">
              <w:rPr>
                <w:rFonts w:ascii="Courier New" w:hAnsi="Courier New"/>
                <w:noProof/>
                <w:sz w:val="16"/>
                <w:lang w:eastAsia="en-GB"/>
              </w:rPr>
              <w:t xml:space="preserve">    </w:t>
            </w:r>
            <w:r w:rsidRPr="006E66A6">
              <w:rPr>
                <w:rFonts w:ascii="Courier New" w:hAnsi="Courier New"/>
                <w:noProof/>
                <w:color w:val="808080"/>
                <w:sz w:val="16"/>
                <w:lang w:eastAsia="en-GB"/>
              </w:rPr>
              <w:t>-- Understanding is that a UE that doesn't support any frequency band that requires an aerial specific NS value doesn't need to</w:t>
            </w:r>
          </w:p>
          <w:p w14:paraId="36820EA2" w14:textId="3CBC69CD"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6A6">
              <w:rPr>
                <w:rFonts w:ascii="Courier New" w:hAnsi="Courier New"/>
                <w:noProof/>
                <w:sz w:val="16"/>
                <w:lang w:eastAsia="en-GB"/>
              </w:rPr>
              <w:t xml:space="preserve">    </w:t>
            </w:r>
            <w:r w:rsidRPr="006E66A6">
              <w:rPr>
                <w:rFonts w:ascii="Courier New" w:hAnsi="Courier New"/>
                <w:noProof/>
                <w:color w:val="808080"/>
                <w:sz w:val="16"/>
                <w:lang w:eastAsia="en-GB"/>
              </w:rPr>
              <w:t>-- implement the procedure for aerial specific NS value. Whether indication is needed is still FFS. This is only shown as</w:t>
            </w:r>
            <w:r>
              <w:rPr>
                <w:rFonts w:ascii="Courier New" w:hAnsi="Courier New"/>
                <w:noProof/>
                <w:color w:val="808080"/>
                <w:sz w:val="16"/>
                <w:lang w:eastAsia="en-GB"/>
              </w:rPr>
              <w:t xml:space="preserve"> placeholder.</w:t>
            </w:r>
          </w:p>
        </w:tc>
      </w:tr>
    </w:tbl>
    <w:p w14:paraId="7664A516" w14:textId="323E87C3" w:rsidR="00666335" w:rsidRDefault="00C84CE4" w:rsidP="00281578">
      <w:r>
        <w:br/>
      </w:r>
      <w:r w:rsidR="009D6802">
        <w:t xml:space="preserve">In our understanding if the UE is an Aerial UE (i.e. indicates the support of </w:t>
      </w:r>
      <w:r w:rsidR="009D6802" w:rsidRPr="009D6802">
        <w:rPr>
          <w:i/>
          <w:iCs/>
        </w:rPr>
        <w:t>aerialUE-Capability-r18</w:t>
      </w:r>
      <w:r w:rsidR="009D6802">
        <w:t xml:space="preserve">) and supports the frequency band wherein aerial specific NS values are required, it shall </w:t>
      </w:r>
      <w:r w:rsidR="002968CB">
        <w:t xml:space="preserve">also </w:t>
      </w:r>
      <w:r w:rsidR="009D6802">
        <w:t xml:space="preserve">support those </w:t>
      </w:r>
      <w:r w:rsidR="00666335">
        <w:t xml:space="preserve">NS </w:t>
      </w:r>
      <w:r w:rsidR="009D6802">
        <w:t xml:space="preserve">values. It means, there is no need to separately signal the support for NS values within </w:t>
      </w:r>
      <w:r w:rsidR="009D6802" w:rsidRPr="009D6802">
        <w:rPr>
          <w:i/>
          <w:iCs/>
        </w:rPr>
        <w:t>AerialParameters-r18</w:t>
      </w:r>
      <w:r w:rsidR="00666335">
        <w:t xml:space="preserve">, e.g. in a per band list. </w:t>
      </w:r>
    </w:p>
    <w:p w14:paraId="64660D24" w14:textId="0AB54D3C" w:rsidR="00666335" w:rsidRPr="002968CB" w:rsidRDefault="00666335" w:rsidP="00281578">
      <w:pPr>
        <w:rPr>
          <w:b/>
          <w:bCs/>
        </w:rPr>
      </w:pPr>
      <w:r w:rsidRPr="002968CB">
        <w:rPr>
          <w:b/>
          <w:bCs/>
        </w:rPr>
        <w:t>Observation 1:</w:t>
      </w:r>
      <w:r w:rsidR="00B2005E" w:rsidRPr="002968CB">
        <w:rPr>
          <w:b/>
          <w:bCs/>
        </w:rPr>
        <w:t xml:space="preserve"> It</w:t>
      </w:r>
      <w:r w:rsidR="00AE3735" w:rsidRPr="002968CB">
        <w:rPr>
          <w:b/>
          <w:bCs/>
        </w:rPr>
        <w:t xml:space="preserve"> </w:t>
      </w:r>
      <w:r w:rsidR="002968CB" w:rsidRPr="002968CB">
        <w:rPr>
          <w:b/>
          <w:bCs/>
        </w:rPr>
        <w:t>is expected that the UAV UE supporting certain band where aerial NS values are required, supports those NS values.</w:t>
      </w:r>
    </w:p>
    <w:p w14:paraId="0E76F157" w14:textId="440A9C1A" w:rsidR="004E1C33" w:rsidRDefault="004E1C33" w:rsidP="00281578">
      <w:r>
        <w:t xml:space="preserve">For the existing, pre-Rel-18 IEs, such as </w:t>
      </w:r>
      <w:r w:rsidRPr="004E1C33">
        <w:rPr>
          <w:i/>
          <w:iCs/>
        </w:rPr>
        <w:t>NR-NS-</w:t>
      </w:r>
      <w:proofErr w:type="spellStart"/>
      <w:r w:rsidRPr="004E1C33">
        <w:rPr>
          <w:i/>
          <w:iCs/>
        </w:rPr>
        <w:t>PmaxList</w:t>
      </w:r>
      <w:proofErr w:type="spellEnd"/>
      <w:r>
        <w:t xml:space="preserve"> or </w:t>
      </w:r>
      <w:r w:rsidRPr="004E1C33">
        <w:rPr>
          <w:i/>
          <w:iCs/>
        </w:rPr>
        <w:t>NR-NS-PmaxList-v1760</w:t>
      </w:r>
      <w:r>
        <w:t xml:space="preserve"> </w:t>
      </w:r>
      <w:r>
        <w:fldChar w:fldCharType="begin"/>
      </w:r>
      <w:r>
        <w:instrText xml:space="preserve"> REF _Ref158307566 \r \h </w:instrText>
      </w:r>
      <w:r>
        <w:fldChar w:fldCharType="separate"/>
      </w:r>
      <w:r>
        <w:t>[2]</w:t>
      </w:r>
      <w:r>
        <w:fldChar w:fldCharType="end"/>
      </w:r>
      <w:r>
        <w:t xml:space="preserve"> no associated capabilities were defined. We see no reason to deviate from this principle now, when we design Rel-18 UAV support.</w:t>
      </w:r>
    </w:p>
    <w:p w14:paraId="669A6405" w14:textId="1086C085" w:rsidR="004E1C33" w:rsidRPr="000F00F0" w:rsidRDefault="004E1C33" w:rsidP="00281578">
      <w:pPr>
        <w:rPr>
          <w:b/>
          <w:bCs/>
        </w:rPr>
      </w:pPr>
      <w:r w:rsidRPr="000F00F0">
        <w:rPr>
          <w:b/>
          <w:bCs/>
        </w:rPr>
        <w:t xml:space="preserve">Observation 2: </w:t>
      </w:r>
      <w:r w:rsidR="000F00F0" w:rsidRPr="000F00F0">
        <w:rPr>
          <w:b/>
          <w:bCs/>
        </w:rPr>
        <w:t xml:space="preserve">No associated capabilities were defined for pre-Rel-18 IEs, i.e., </w:t>
      </w:r>
      <w:r w:rsidR="000F00F0" w:rsidRPr="000F00F0">
        <w:rPr>
          <w:b/>
          <w:bCs/>
          <w:i/>
          <w:iCs/>
        </w:rPr>
        <w:t>NR-NS-</w:t>
      </w:r>
      <w:proofErr w:type="spellStart"/>
      <w:r w:rsidR="000F00F0" w:rsidRPr="000F00F0">
        <w:rPr>
          <w:b/>
          <w:bCs/>
          <w:i/>
          <w:iCs/>
        </w:rPr>
        <w:t>PmaxList</w:t>
      </w:r>
      <w:proofErr w:type="spellEnd"/>
      <w:r w:rsidR="000F00F0" w:rsidRPr="000F00F0">
        <w:rPr>
          <w:b/>
          <w:bCs/>
        </w:rPr>
        <w:t xml:space="preserve"> or </w:t>
      </w:r>
      <w:r w:rsidR="000F00F0" w:rsidRPr="000F00F0">
        <w:rPr>
          <w:b/>
          <w:bCs/>
          <w:i/>
          <w:iCs/>
        </w:rPr>
        <w:t>NR-NS-PmaxList-v1760</w:t>
      </w:r>
      <w:r w:rsidRPr="000F00F0">
        <w:rPr>
          <w:b/>
          <w:bCs/>
        </w:rPr>
        <w:t>.</w:t>
      </w:r>
    </w:p>
    <w:p w14:paraId="61487BE4" w14:textId="31126D1C" w:rsidR="002968CB" w:rsidRDefault="002968CB" w:rsidP="00281578">
      <w:r>
        <w:t>Thus, if the</w:t>
      </w:r>
      <w:r w:rsidR="00625877">
        <w:t xml:space="preserve"> Observation 1</w:t>
      </w:r>
      <w:r w:rsidR="004E1C33">
        <w:t xml:space="preserve"> and Observation 2 are</w:t>
      </w:r>
      <w:r w:rsidR="00625877">
        <w:t xml:space="preserve"> confirmed, we propose the following:</w:t>
      </w:r>
      <w:r>
        <w:t xml:space="preserve"> </w:t>
      </w:r>
    </w:p>
    <w:p w14:paraId="198C721C" w14:textId="7CB2A93D" w:rsidR="00625877" w:rsidRPr="00625877" w:rsidRDefault="00625877" w:rsidP="00281578">
      <w:pPr>
        <w:rPr>
          <w:b/>
          <w:bCs/>
        </w:rPr>
      </w:pPr>
      <w:r w:rsidRPr="00625877">
        <w:rPr>
          <w:b/>
          <w:bCs/>
        </w:rPr>
        <w:t>Proposal 1: No separate capability is introduced for the purpose of signalling the Aerial UE’s support of specific NS values.</w:t>
      </w:r>
      <w:r w:rsidR="00C84CE4">
        <w:rPr>
          <w:b/>
          <w:bCs/>
        </w:rPr>
        <w:t xml:space="preserve"> </w:t>
      </w:r>
      <w:r w:rsidR="00C84CE4" w:rsidRPr="00C84CE4">
        <w:rPr>
          <w:b/>
          <w:bCs/>
          <w:i/>
          <w:iCs/>
        </w:rPr>
        <w:t>nr-NS-PmaxListAerial-r18</w:t>
      </w:r>
      <w:r w:rsidR="00C84CE4">
        <w:rPr>
          <w:b/>
          <w:bCs/>
        </w:rPr>
        <w:t xml:space="preserve"> is removed from </w:t>
      </w:r>
      <w:r w:rsidR="00C84CE4" w:rsidRPr="00C84CE4">
        <w:rPr>
          <w:b/>
          <w:bCs/>
          <w:i/>
          <w:iCs/>
        </w:rPr>
        <w:t>AerialParameters-r18</w:t>
      </w:r>
      <w:r w:rsidR="00C84CE4">
        <w:rPr>
          <w:b/>
          <w:bCs/>
        </w:rPr>
        <w:t>.</w:t>
      </w:r>
    </w:p>
    <w:p w14:paraId="5ABD0EF4" w14:textId="682AC580" w:rsidR="001345E5" w:rsidRDefault="001345E5" w:rsidP="001345E5">
      <w:pPr>
        <w:pStyle w:val="Heading3"/>
      </w:pPr>
      <w:r>
        <w:t xml:space="preserve">2.2 </w:t>
      </w:r>
      <w:r w:rsidR="005850A0">
        <w:tab/>
      </w:r>
      <w:r>
        <w:t xml:space="preserve">On </w:t>
      </w:r>
      <w:r w:rsidR="001B7B52">
        <w:t>Capability for BRID/DAA</w:t>
      </w:r>
    </w:p>
    <w:p w14:paraId="65AE3EE3" w14:textId="74C64743" w:rsidR="00E76C09" w:rsidRDefault="001B7B52" w:rsidP="009339CB">
      <w:pPr>
        <w:rPr>
          <w:lang w:val="da-DK"/>
        </w:rPr>
      </w:pPr>
      <w:r>
        <w:t xml:space="preserve">At RAN2#124 such FFS aspect has been noted </w:t>
      </w:r>
      <w:r>
        <w:fldChar w:fldCharType="begin"/>
      </w:r>
      <w:r>
        <w:instrText xml:space="preserve"> REF _Ref158671668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857"/>
      </w:tblGrid>
      <w:tr w:rsidR="00723C9A" w14:paraId="60E84081" w14:textId="77777777" w:rsidTr="00723C9A">
        <w:tc>
          <w:tcPr>
            <w:tcW w:w="9857" w:type="dxa"/>
          </w:tcPr>
          <w:p w14:paraId="0AD678E3" w14:textId="0C6608A0" w:rsidR="00723C9A" w:rsidRDefault="00723C9A" w:rsidP="00723C9A">
            <w:pPr>
              <w:rPr>
                <w:lang w:val="da-DK"/>
              </w:rPr>
            </w:pPr>
            <w:r>
              <w:lastRenderedPageBreak/>
              <w:t xml:space="preserve">- sl-A2X capability, with BRID, DAA, and both granularity, that also means that it supports dedicated A2X pools.   </w:t>
            </w:r>
            <w:r w:rsidRPr="001B7B52">
              <w:rPr>
                <w:highlight w:val="yellow"/>
              </w:rPr>
              <w:t>FFS</w:t>
            </w:r>
            <w:r>
              <w:t xml:space="preserve"> if it is per UE or FS (as working assumption for CR we implement per UE).                     </w:t>
            </w:r>
          </w:p>
        </w:tc>
      </w:tr>
    </w:tbl>
    <w:p w14:paraId="16E45C19" w14:textId="4021D784" w:rsidR="009122D5" w:rsidRPr="009122D5" w:rsidRDefault="009122D5" w:rsidP="009339CB">
      <w:r>
        <w:rPr>
          <w:lang w:val="da-DK"/>
        </w:rPr>
        <w:br/>
      </w:r>
      <w:r w:rsidRPr="009122D5">
        <w:t>In</w:t>
      </w:r>
      <w:r>
        <w:t xml:space="preserve"> </w:t>
      </w:r>
      <w:r>
        <w:fldChar w:fldCharType="begin"/>
      </w:r>
      <w:r>
        <w:instrText xml:space="preserve"> REF _Ref158307566 \r \h </w:instrText>
      </w:r>
      <w:r>
        <w:fldChar w:fldCharType="separate"/>
      </w:r>
      <w:r>
        <w:t>[2]</w:t>
      </w:r>
      <w:r>
        <w:fldChar w:fldCharType="end"/>
      </w:r>
      <w:r w:rsidRPr="009122D5">
        <w:t xml:space="preserve"> the </w:t>
      </w:r>
      <w:r>
        <w:t xml:space="preserve">associated </w:t>
      </w:r>
      <w:r w:rsidRPr="009122D5">
        <w:t>capability is captured as follows</w:t>
      </w:r>
      <w:r w:rsidR="006E66A6">
        <w:t xml:space="preserve"> within </w:t>
      </w:r>
      <w:r w:rsidR="006E66A6" w:rsidRPr="006E66A6">
        <w:rPr>
          <w:i/>
          <w:iCs/>
        </w:rPr>
        <w:t>AerialParameters-r18</w:t>
      </w:r>
      <w:r w:rsidRPr="009122D5">
        <w:t>:</w:t>
      </w:r>
    </w:p>
    <w:tbl>
      <w:tblPr>
        <w:tblStyle w:val="TableGrid"/>
        <w:tblW w:w="0" w:type="auto"/>
        <w:tblLook w:val="04A0" w:firstRow="1" w:lastRow="0" w:firstColumn="1" w:lastColumn="0" w:noHBand="0" w:noVBand="1"/>
      </w:tblPr>
      <w:tblGrid>
        <w:gridCol w:w="9857"/>
      </w:tblGrid>
      <w:tr w:rsidR="006E66A6" w14:paraId="419B90AE" w14:textId="77777777" w:rsidTr="006E66A6">
        <w:tc>
          <w:tcPr>
            <w:tcW w:w="9857" w:type="dxa"/>
          </w:tcPr>
          <w:p w14:paraId="09B47B2E" w14:textId="77777777"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6E66A6">
              <w:rPr>
                <w:rFonts w:ascii="Courier New" w:eastAsia="MS Mincho" w:hAnsi="Courier New"/>
                <w:noProof/>
                <w:sz w:val="16"/>
                <w:lang w:eastAsia="en-GB"/>
              </w:rPr>
              <w:t xml:space="preserve">    sl-A2X-Service-r18                            </w:t>
            </w:r>
            <w:r w:rsidRPr="006E66A6">
              <w:rPr>
                <w:rFonts w:ascii="Courier New" w:eastAsia="MS Mincho" w:hAnsi="Courier New"/>
                <w:noProof/>
                <w:color w:val="993366"/>
                <w:sz w:val="16"/>
                <w:lang w:eastAsia="en-GB"/>
              </w:rPr>
              <w:t>ENUMERATED</w:t>
            </w:r>
            <w:r w:rsidRPr="006E66A6">
              <w:rPr>
                <w:rFonts w:ascii="Courier New" w:eastAsia="MS Mincho" w:hAnsi="Courier New"/>
                <w:noProof/>
                <w:sz w:val="16"/>
                <w:lang w:eastAsia="en-GB"/>
              </w:rPr>
              <w:t xml:space="preserve"> {brid, daa, bridAndDAA}</w:t>
            </w:r>
            <w:r w:rsidRPr="006E66A6">
              <w:rPr>
                <w:rFonts w:ascii="Courier New" w:hAnsi="Courier New"/>
                <w:noProof/>
                <w:sz w:val="16"/>
                <w:lang w:eastAsia="en-GB"/>
              </w:rPr>
              <w:t xml:space="preserve">                   </w:t>
            </w:r>
            <w:r w:rsidRPr="006E66A6">
              <w:rPr>
                <w:rFonts w:ascii="Courier New" w:eastAsia="MS Mincho" w:hAnsi="Courier New"/>
                <w:noProof/>
                <w:color w:val="993366"/>
                <w:sz w:val="16"/>
                <w:lang w:eastAsia="en-GB"/>
              </w:rPr>
              <w:t>OPTIONAL</w:t>
            </w:r>
            <w:r w:rsidRPr="006E66A6">
              <w:rPr>
                <w:rFonts w:ascii="Courier New" w:eastAsia="MS Mincho" w:hAnsi="Courier New"/>
                <w:noProof/>
                <w:sz w:val="16"/>
                <w:lang w:eastAsia="en-GB"/>
              </w:rPr>
              <w:t>,</w:t>
            </w:r>
          </w:p>
          <w:p w14:paraId="6BE65891" w14:textId="77777777"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6E66A6">
              <w:rPr>
                <w:rFonts w:ascii="Courier New" w:eastAsia="MS Mincho" w:hAnsi="Courier New"/>
                <w:noProof/>
                <w:sz w:val="16"/>
                <w:lang w:eastAsia="en-GB"/>
              </w:rPr>
              <w:t xml:space="preserve">    </w:t>
            </w:r>
            <w:r w:rsidRPr="006E66A6">
              <w:rPr>
                <w:rFonts w:ascii="Courier New" w:eastAsia="MS Mincho" w:hAnsi="Courier New"/>
                <w:noProof/>
                <w:color w:val="808080"/>
                <w:sz w:val="16"/>
                <w:lang w:eastAsia="en-GB"/>
              </w:rPr>
              <w:t>-- Editor's Note: Granularity of this capability, e.g. per UE/band/FS is still FFS. Depending on the conclusion, this may need to</w:t>
            </w:r>
          </w:p>
          <w:p w14:paraId="40380EC6" w14:textId="4F28F0F4" w:rsidR="006E66A6" w:rsidRPr="006E66A6" w:rsidRDefault="006E66A6" w:rsidP="006E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6E66A6">
              <w:rPr>
                <w:rFonts w:ascii="Courier New" w:eastAsia="MS Mincho" w:hAnsi="Courier New"/>
                <w:noProof/>
                <w:sz w:val="16"/>
                <w:lang w:eastAsia="en-GB"/>
              </w:rPr>
              <w:t xml:space="preserve">    </w:t>
            </w:r>
            <w:r w:rsidRPr="006E66A6">
              <w:rPr>
                <w:rFonts w:ascii="Courier New" w:eastAsia="MS Mincho" w:hAnsi="Courier New"/>
                <w:noProof/>
                <w:color w:val="808080"/>
                <w:sz w:val="16"/>
                <w:lang w:eastAsia="en-GB"/>
              </w:rPr>
              <w:t>-- be moved.</w:t>
            </w:r>
          </w:p>
        </w:tc>
      </w:tr>
    </w:tbl>
    <w:p w14:paraId="2C5A0EF2" w14:textId="77777777" w:rsidR="009147F4" w:rsidRDefault="006E66A6" w:rsidP="009339CB">
      <w:r>
        <w:rPr>
          <w:lang w:val="da-DK"/>
        </w:rPr>
        <w:br/>
      </w:r>
      <w:r w:rsidR="00C45FCF" w:rsidRPr="00C45FCF">
        <w:t xml:space="preserve">As can be noticed, </w:t>
      </w:r>
      <w:r w:rsidR="00C45FCF">
        <w:t>RAN2 decided to support the UAV UEs with flexible A2X capabilit</w:t>
      </w:r>
      <w:r w:rsidR="002862E0">
        <w:t>y signalling</w:t>
      </w:r>
      <w:r w:rsidR="00C45FCF">
        <w:t xml:space="preserve">, i.e. the UE might support BRID only or DAA only or be capable of both BRID and DAA. </w:t>
      </w:r>
      <w:r w:rsidR="002862E0">
        <w:t>Nevertheless, according to some companies</w:t>
      </w:r>
      <w:r w:rsidR="009147F4">
        <w:t>,</w:t>
      </w:r>
      <w:r w:rsidR="002862E0">
        <w:t xml:space="preserve"> that is insufficient and signalling </w:t>
      </w:r>
      <w:r w:rsidR="009147F4">
        <w:t>such</w:t>
      </w:r>
      <w:r w:rsidR="002862E0">
        <w:t xml:space="preserve"> ENUMERATED parameter per UE is not acceptable</w:t>
      </w:r>
      <w:r w:rsidR="00BB7A62">
        <w:t xml:space="preserve">. We agree there might be different requirements for A2X in various regions of the world, so the support of A2X should be OPTIONAL (i.e. not everywhere the UAV UE will have to signal such capability). However, if the UAV UE is capable of </w:t>
      </w:r>
      <w:r w:rsidR="00BB7A62" w:rsidRPr="00D12FD1">
        <w:rPr>
          <w:i/>
          <w:iCs/>
        </w:rPr>
        <w:t>sl-A2X-Service</w:t>
      </w:r>
      <w:r w:rsidR="00BB7A62">
        <w:t>, then we see no point in differentiating that support with respect to the frequency band.</w:t>
      </w:r>
    </w:p>
    <w:p w14:paraId="49C55DD6" w14:textId="6CC287AE" w:rsidR="009147F4" w:rsidRPr="009147F4" w:rsidRDefault="009147F4" w:rsidP="009339CB">
      <w:pPr>
        <w:rPr>
          <w:b/>
          <w:bCs/>
        </w:rPr>
      </w:pPr>
      <w:r w:rsidRPr="009147F4">
        <w:rPr>
          <w:b/>
          <w:bCs/>
        </w:rPr>
        <w:t xml:space="preserve">Observation 3: There is no need to differentiate </w:t>
      </w:r>
      <w:r w:rsidRPr="009147F4">
        <w:rPr>
          <w:b/>
          <w:bCs/>
          <w:i/>
          <w:iCs/>
        </w:rPr>
        <w:t>sl-A2X-Service</w:t>
      </w:r>
      <w:r w:rsidRPr="009147F4">
        <w:rPr>
          <w:b/>
          <w:bCs/>
        </w:rPr>
        <w:t xml:space="preserve"> support with respect to frequency bands. </w:t>
      </w:r>
    </w:p>
    <w:p w14:paraId="55F15FCE" w14:textId="0BF559B6" w:rsidR="009122D5" w:rsidRDefault="009147F4" w:rsidP="009339CB">
      <w:r>
        <w:t>When inspecting the existing sidelink parameters and capabilities</w:t>
      </w:r>
      <w:r w:rsidR="002862E0">
        <w:t xml:space="preserve"> </w:t>
      </w:r>
      <w:r>
        <w:t xml:space="preserve">one can notice there is a list of </w:t>
      </w:r>
      <w:proofErr w:type="spellStart"/>
      <w:r w:rsidRPr="00640ADB">
        <w:rPr>
          <w:i/>
          <w:iCs/>
        </w:rPr>
        <w:t>supportedBandListSidelink</w:t>
      </w:r>
      <w:proofErr w:type="spellEnd"/>
      <w:r>
        <w:t xml:space="preserve"> under </w:t>
      </w:r>
      <w:proofErr w:type="spellStart"/>
      <w:r w:rsidRPr="00640ADB">
        <w:rPr>
          <w:i/>
          <w:iCs/>
        </w:rPr>
        <w:t>SidelinkParameters</w:t>
      </w:r>
      <w:proofErr w:type="spellEnd"/>
      <w:r>
        <w:t xml:space="preserve"> </w:t>
      </w:r>
      <w:r>
        <w:fldChar w:fldCharType="begin"/>
      </w:r>
      <w:r>
        <w:instrText xml:space="preserve"> REF _Ref158307566 \r \h </w:instrText>
      </w:r>
      <w:r>
        <w:fldChar w:fldCharType="separate"/>
      </w:r>
      <w:r>
        <w:t>[2]</w:t>
      </w:r>
      <w:r>
        <w:fldChar w:fldCharType="end"/>
      </w:r>
      <w:r>
        <w:t xml:space="preserve">. Then, each entry in the </w:t>
      </w:r>
      <w:proofErr w:type="spellStart"/>
      <w:r w:rsidRPr="00640ADB">
        <w:rPr>
          <w:i/>
          <w:iCs/>
        </w:rPr>
        <w:t>supportedBandListSidelink</w:t>
      </w:r>
      <w:proofErr w:type="spellEnd"/>
      <w:r>
        <w:t xml:space="preserve"> has its own set of functionalities (e.g. related to reception, transmission mode, etc.). Nevertheless,</w:t>
      </w:r>
      <w:r w:rsidR="00640ADB">
        <w:t xml:space="preserve"> </w:t>
      </w:r>
      <w:r w:rsidR="00141A6A">
        <w:t xml:space="preserve">it </w:t>
      </w:r>
      <w:r w:rsidR="00640ADB">
        <w:t>seems RAN2 does</w:t>
      </w:r>
      <w:r>
        <w:t xml:space="preserve"> not know which bands are potentially relevant to which type of A2X services, while it is </w:t>
      </w:r>
      <w:r w:rsidR="00640ADB">
        <w:t>pointless to blindly add A2X</w:t>
      </w:r>
      <w:r w:rsidR="000E43E9">
        <w:t xml:space="preserve"> support</w:t>
      </w:r>
      <w:r w:rsidR="00640ADB">
        <w:t xml:space="preserve"> under </w:t>
      </w:r>
      <w:r w:rsidR="000E43E9">
        <w:t>each</w:t>
      </w:r>
      <w:r w:rsidR="00640ADB">
        <w:t xml:space="preserve"> or </w:t>
      </w:r>
      <w:r w:rsidR="000E43E9">
        <w:t xml:space="preserve">(somehow) </w:t>
      </w:r>
      <w:r w:rsidR="00640ADB">
        <w:t xml:space="preserve">selected </w:t>
      </w:r>
      <w:proofErr w:type="spellStart"/>
      <w:r w:rsidR="00640ADB" w:rsidRPr="00F20900">
        <w:rPr>
          <w:i/>
          <w:iCs/>
        </w:rPr>
        <w:t>freqBandSidelink</w:t>
      </w:r>
      <w:proofErr w:type="spellEnd"/>
      <w:r w:rsidR="00640ADB">
        <w:t xml:space="preserve"> entries. </w:t>
      </w:r>
    </w:p>
    <w:p w14:paraId="76D44FA8" w14:textId="491ED238" w:rsidR="000E43E9" w:rsidRPr="000E43E9" w:rsidRDefault="00F20900" w:rsidP="009339CB">
      <w:pPr>
        <w:rPr>
          <w:b/>
          <w:bCs/>
        </w:rPr>
      </w:pPr>
      <w:r w:rsidRPr="000E43E9">
        <w:rPr>
          <w:b/>
          <w:bCs/>
        </w:rPr>
        <w:t xml:space="preserve">Observation </w:t>
      </w:r>
      <w:r w:rsidR="000E43E9" w:rsidRPr="000E43E9">
        <w:rPr>
          <w:b/>
          <w:bCs/>
        </w:rPr>
        <w:t>4</w:t>
      </w:r>
      <w:r w:rsidRPr="000E43E9">
        <w:rPr>
          <w:b/>
          <w:bCs/>
        </w:rPr>
        <w:t xml:space="preserve">: </w:t>
      </w:r>
      <w:r w:rsidR="000E43E9" w:rsidRPr="000E43E9">
        <w:rPr>
          <w:b/>
          <w:bCs/>
        </w:rPr>
        <w:t xml:space="preserve">RAN2 does not know under which </w:t>
      </w:r>
      <w:proofErr w:type="spellStart"/>
      <w:r w:rsidR="000E43E9" w:rsidRPr="000E43E9">
        <w:rPr>
          <w:b/>
          <w:bCs/>
          <w:i/>
          <w:iCs/>
        </w:rPr>
        <w:t>freqBandSidelink</w:t>
      </w:r>
      <w:proofErr w:type="spellEnd"/>
      <w:r w:rsidR="000E43E9" w:rsidRPr="000E43E9">
        <w:rPr>
          <w:b/>
          <w:bCs/>
          <w:i/>
          <w:iCs/>
        </w:rPr>
        <w:t xml:space="preserve"> </w:t>
      </w:r>
      <w:r w:rsidR="000E43E9" w:rsidRPr="000E43E9">
        <w:rPr>
          <w:b/>
          <w:bCs/>
        </w:rPr>
        <w:t xml:space="preserve">a support for particular A2X service would need to be added. </w:t>
      </w:r>
    </w:p>
    <w:p w14:paraId="4D7DA688" w14:textId="30547B82" w:rsidR="00640ADB" w:rsidRDefault="00640ADB" w:rsidP="009339CB">
      <w:r>
        <w:t>Considering all of that has been said above, we suggest the following:</w:t>
      </w:r>
    </w:p>
    <w:p w14:paraId="55E9705E" w14:textId="7F726562" w:rsidR="00640ADB" w:rsidRPr="00F20900" w:rsidRDefault="00640ADB" w:rsidP="009339CB">
      <w:pPr>
        <w:rPr>
          <w:b/>
          <w:bCs/>
        </w:rPr>
      </w:pPr>
      <w:r w:rsidRPr="00F20900">
        <w:rPr>
          <w:b/>
          <w:bCs/>
        </w:rPr>
        <w:t xml:space="preserve">Proposal 2: </w:t>
      </w:r>
      <w:r w:rsidR="000E43E9" w:rsidRPr="000E43E9">
        <w:rPr>
          <w:b/>
          <w:bCs/>
          <w:i/>
          <w:iCs/>
        </w:rPr>
        <w:t>sl-A2X-Service</w:t>
      </w:r>
      <w:r w:rsidR="000E43E9">
        <w:rPr>
          <w:b/>
          <w:bCs/>
        </w:rPr>
        <w:t xml:space="preserve"> is defined as a per UE capability.</w:t>
      </w:r>
    </w:p>
    <w:p w14:paraId="69B7B8E6" w14:textId="69E07FC9" w:rsidR="009339CB" w:rsidRPr="006E13D1" w:rsidRDefault="005A13AB" w:rsidP="009339CB">
      <w:pPr>
        <w:pStyle w:val="Heading1"/>
      </w:pPr>
      <w:r>
        <w:t>3</w:t>
      </w:r>
      <w:r w:rsidR="009339CB" w:rsidRPr="006E13D1">
        <w:tab/>
      </w:r>
      <w:r w:rsidR="009339CB">
        <w:t>Conclusion</w:t>
      </w:r>
    </w:p>
    <w:p w14:paraId="6E24B0F4" w14:textId="5B758A03" w:rsidR="009339CB" w:rsidRPr="006E13D1" w:rsidRDefault="009339CB" w:rsidP="009339CB">
      <w:r>
        <w:t>This document has made the following observations</w:t>
      </w:r>
      <w:r w:rsidR="00D2298B">
        <w:t xml:space="preserve"> and proposals</w:t>
      </w:r>
      <w:r>
        <w:t>:</w:t>
      </w:r>
    </w:p>
    <w:p w14:paraId="56262BE9" w14:textId="77777777" w:rsidR="00F720F5" w:rsidRPr="002968CB" w:rsidRDefault="00F720F5" w:rsidP="00F720F5">
      <w:pPr>
        <w:rPr>
          <w:b/>
          <w:bCs/>
        </w:rPr>
      </w:pPr>
      <w:r w:rsidRPr="002968CB">
        <w:rPr>
          <w:b/>
          <w:bCs/>
        </w:rPr>
        <w:t>Observation 1: It is expected that the UAV UE supporting certain band where aerial NS values are required, supports those NS values.</w:t>
      </w:r>
    </w:p>
    <w:p w14:paraId="1310B77F" w14:textId="77777777" w:rsidR="00F720F5" w:rsidRPr="000F00F0" w:rsidRDefault="00F720F5" w:rsidP="00F720F5">
      <w:pPr>
        <w:rPr>
          <w:b/>
          <w:bCs/>
        </w:rPr>
      </w:pPr>
      <w:r w:rsidRPr="000F00F0">
        <w:rPr>
          <w:b/>
          <w:bCs/>
        </w:rPr>
        <w:t xml:space="preserve">Observation 2: No associated capabilities were defined for pre-Rel-18 IEs, i.e., </w:t>
      </w:r>
      <w:r w:rsidRPr="000F00F0">
        <w:rPr>
          <w:b/>
          <w:bCs/>
          <w:i/>
          <w:iCs/>
        </w:rPr>
        <w:t>NR-NS-</w:t>
      </w:r>
      <w:proofErr w:type="spellStart"/>
      <w:r w:rsidRPr="000F00F0">
        <w:rPr>
          <w:b/>
          <w:bCs/>
          <w:i/>
          <w:iCs/>
        </w:rPr>
        <w:t>PmaxList</w:t>
      </w:r>
      <w:proofErr w:type="spellEnd"/>
      <w:r w:rsidRPr="000F00F0">
        <w:rPr>
          <w:b/>
          <w:bCs/>
        </w:rPr>
        <w:t xml:space="preserve"> or </w:t>
      </w:r>
      <w:r w:rsidRPr="000F00F0">
        <w:rPr>
          <w:b/>
          <w:bCs/>
          <w:i/>
          <w:iCs/>
        </w:rPr>
        <w:t>NR-NS-PmaxList-v1760</w:t>
      </w:r>
      <w:r w:rsidRPr="000F00F0">
        <w:rPr>
          <w:b/>
          <w:bCs/>
        </w:rPr>
        <w:t>.</w:t>
      </w:r>
    </w:p>
    <w:p w14:paraId="43BF9F3F" w14:textId="77777777" w:rsidR="00F720F5" w:rsidRPr="00625877" w:rsidRDefault="00F720F5" w:rsidP="00F720F5">
      <w:pPr>
        <w:rPr>
          <w:b/>
          <w:bCs/>
        </w:rPr>
      </w:pPr>
      <w:r w:rsidRPr="00625877">
        <w:rPr>
          <w:b/>
          <w:bCs/>
        </w:rPr>
        <w:t>Proposal 1: No separate capability is introduced for the purpose of signalling the Aerial UE’s support of specific NS values.</w:t>
      </w:r>
      <w:r>
        <w:rPr>
          <w:b/>
          <w:bCs/>
        </w:rPr>
        <w:t xml:space="preserve"> </w:t>
      </w:r>
      <w:r w:rsidRPr="00C84CE4">
        <w:rPr>
          <w:b/>
          <w:bCs/>
          <w:i/>
          <w:iCs/>
        </w:rPr>
        <w:t>nr-NS-PmaxListAerial-r18</w:t>
      </w:r>
      <w:r>
        <w:rPr>
          <w:b/>
          <w:bCs/>
        </w:rPr>
        <w:t xml:space="preserve"> is removed from </w:t>
      </w:r>
      <w:r w:rsidRPr="00C84CE4">
        <w:rPr>
          <w:b/>
          <w:bCs/>
          <w:i/>
          <w:iCs/>
        </w:rPr>
        <w:t>AerialParameters-r18</w:t>
      </w:r>
      <w:r>
        <w:rPr>
          <w:b/>
          <w:bCs/>
        </w:rPr>
        <w:t>.</w:t>
      </w:r>
    </w:p>
    <w:p w14:paraId="263F6154" w14:textId="77777777" w:rsidR="00F720F5" w:rsidRPr="009147F4" w:rsidRDefault="00F720F5" w:rsidP="00F720F5">
      <w:pPr>
        <w:rPr>
          <w:b/>
          <w:bCs/>
        </w:rPr>
      </w:pPr>
      <w:r w:rsidRPr="009147F4">
        <w:rPr>
          <w:b/>
          <w:bCs/>
        </w:rPr>
        <w:t xml:space="preserve">Observation 3: There is no need to differentiate </w:t>
      </w:r>
      <w:r w:rsidRPr="009147F4">
        <w:rPr>
          <w:b/>
          <w:bCs/>
          <w:i/>
          <w:iCs/>
        </w:rPr>
        <w:t>sl-A2X-Service</w:t>
      </w:r>
      <w:r w:rsidRPr="009147F4">
        <w:rPr>
          <w:b/>
          <w:bCs/>
        </w:rPr>
        <w:t xml:space="preserve"> support with respect to frequency bands. </w:t>
      </w:r>
    </w:p>
    <w:p w14:paraId="2ABDF45E" w14:textId="77777777" w:rsidR="00F720F5" w:rsidRPr="000E43E9" w:rsidRDefault="00F720F5" w:rsidP="00F720F5">
      <w:pPr>
        <w:rPr>
          <w:b/>
          <w:bCs/>
        </w:rPr>
      </w:pPr>
      <w:r w:rsidRPr="000E43E9">
        <w:rPr>
          <w:b/>
          <w:bCs/>
        </w:rPr>
        <w:t xml:space="preserve">Observation 4: RAN2 does not know under which </w:t>
      </w:r>
      <w:proofErr w:type="spellStart"/>
      <w:r w:rsidRPr="000E43E9">
        <w:rPr>
          <w:b/>
          <w:bCs/>
          <w:i/>
          <w:iCs/>
        </w:rPr>
        <w:t>freqBandSidelink</w:t>
      </w:r>
      <w:proofErr w:type="spellEnd"/>
      <w:r w:rsidRPr="000E43E9">
        <w:rPr>
          <w:b/>
          <w:bCs/>
          <w:i/>
          <w:iCs/>
        </w:rPr>
        <w:t xml:space="preserve"> </w:t>
      </w:r>
      <w:r w:rsidRPr="000E43E9">
        <w:rPr>
          <w:b/>
          <w:bCs/>
        </w:rPr>
        <w:t xml:space="preserve">a support for particular A2X service would need to be added. </w:t>
      </w:r>
    </w:p>
    <w:p w14:paraId="35F222F4" w14:textId="23CACFD1" w:rsidR="00080512" w:rsidRPr="00F720F5" w:rsidRDefault="00F720F5" w:rsidP="009339CB">
      <w:pPr>
        <w:rPr>
          <w:b/>
          <w:bCs/>
        </w:rPr>
      </w:pPr>
      <w:r w:rsidRPr="00F20900">
        <w:rPr>
          <w:b/>
          <w:bCs/>
        </w:rPr>
        <w:t xml:space="preserve">Proposal 2: </w:t>
      </w:r>
      <w:r w:rsidRPr="000E43E9">
        <w:rPr>
          <w:b/>
          <w:bCs/>
          <w:i/>
          <w:iCs/>
        </w:rPr>
        <w:t>sl-A2X-Service</w:t>
      </w:r>
      <w:r>
        <w:rPr>
          <w:b/>
          <w:bCs/>
        </w:rPr>
        <w:t xml:space="preserve"> is defined as a per UE capability.</w:t>
      </w:r>
    </w:p>
    <w:p w14:paraId="7A7314D4" w14:textId="41F45344" w:rsidR="00D2298B" w:rsidRDefault="00D2298B">
      <w:pPr>
        <w:pStyle w:val="Heading1"/>
      </w:pPr>
      <w:r>
        <w:t>References</w:t>
      </w:r>
    </w:p>
    <w:p w14:paraId="738EA4E2" w14:textId="4BE591EA" w:rsidR="00D2298B" w:rsidRDefault="009122D5" w:rsidP="009122D5">
      <w:pPr>
        <w:pStyle w:val="ListParagraph"/>
        <w:numPr>
          <w:ilvl w:val="0"/>
          <w:numId w:val="18"/>
        </w:numPr>
      </w:pPr>
      <w:r w:rsidRPr="009122D5">
        <w:t xml:space="preserve">R2-2400002 </w:t>
      </w:r>
      <w:r w:rsidRPr="001636EC">
        <w:rPr>
          <w:i/>
          <w:iCs/>
        </w:rPr>
        <w:t>RAN2#124 Meeting Report</w:t>
      </w:r>
      <w:r w:rsidRPr="009122D5">
        <w:t xml:space="preserve"> 3GPP TSG RAN2 Meeting #125, 26th of February – 1st of March 2024</w:t>
      </w:r>
    </w:p>
    <w:p w14:paraId="5A64A486" w14:textId="3D266B0A" w:rsidR="002B6F2C" w:rsidRPr="00D2298B" w:rsidRDefault="009122D5" w:rsidP="009122D5">
      <w:pPr>
        <w:pStyle w:val="ListParagraph"/>
        <w:numPr>
          <w:ilvl w:val="0"/>
          <w:numId w:val="18"/>
        </w:numPr>
      </w:pPr>
      <w:bookmarkStart w:id="0" w:name="_Ref158300444"/>
      <w:bookmarkStart w:id="1" w:name="_Ref158307566"/>
      <w:r>
        <w:t xml:space="preserve">3GPP TS 38.331 </w:t>
      </w:r>
      <w:r w:rsidRPr="00020E72">
        <w:rPr>
          <w:i/>
          <w:iCs/>
        </w:rPr>
        <w:t>NR RRC</w:t>
      </w:r>
      <w:bookmarkEnd w:id="0"/>
      <w:r w:rsidRPr="00020E72">
        <w:rPr>
          <w:i/>
          <w:iCs/>
        </w:rPr>
        <w:t xml:space="preserve"> Radio Resource Control (RRC) protocol specification</w:t>
      </w:r>
      <w:r>
        <w:t xml:space="preserve">, </w:t>
      </w:r>
      <w:r w:rsidRPr="0019583F">
        <w:t>V18.0.0 (2023-12)</w:t>
      </w:r>
      <w:r>
        <w:t xml:space="preserve"> (Release 18)</w:t>
      </w:r>
      <w:bookmarkEnd w:id="1"/>
    </w:p>
    <w:sectPr w:rsidR="002B6F2C" w:rsidRPr="00D229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FD78" w14:textId="77777777" w:rsidR="00B24C7E" w:rsidRDefault="00B24C7E">
      <w:r>
        <w:separator/>
      </w:r>
    </w:p>
  </w:endnote>
  <w:endnote w:type="continuationSeparator" w:id="0">
    <w:p w14:paraId="0E7F0806" w14:textId="77777777" w:rsidR="00B24C7E" w:rsidRDefault="00B24C7E">
      <w:r>
        <w:continuationSeparator/>
      </w:r>
    </w:p>
  </w:endnote>
  <w:endnote w:type="continuationNotice" w:id="1">
    <w:p w14:paraId="16C54EF5" w14:textId="77777777" w:rsidR="00B24C7E" w:rsidRDefault="00B24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CAF9E" w14:textId="77777777" w:rsidR="00B24C7E" w:rsidRDefault="00B24C7E">
      <w:r>
        <w:separator/>
      </w:r>
    </w:p>
  </w:footnote>
  <w:footnote w:type="continuationSeparator" w:id="0">
    <w:p w14:paraId="4265E216" w14:textId="77777777" w:rsidR="00B24C7E" w:rsidRDefault="00B24C7E">
      <w:r>
        <w:continuationSeparator/>
      </w:r>
    </w:p>
  </w:footnote>
  <w:footnote w:type="continuationNotice" w:id="1">
    <w:p w14:paraId="4C32CDA1" w14:textId="77777777" w:rsidR="00B24C7E" w:rsidRDefault="00B24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924A10"/>
    <w:multiLevelType w:val="hybridMultilevel"/>
    <w:tmpl w:val="0AD4CC1A"/>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571604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1A55"/>
    <w:rsid w:val="000B7BCF"/>
    <w:rsid w:val="000C522B"/>
    <w:rsid w:val="000D58AB"/>
    <w:rsid w:val="000E43E9"/>
    <w:rsid w:val="000F00F0"/>
    <w:rsid w:val="00112F1A"/>
    <w:rsid w:val="0012610D"/>
    <w:rsid w:val="001345E5"/>
    <w:rsid w:val="00141A6A"/>
    <w:rsid w:val="00145075"/>
    <w:rsid w:val="001636EC"/>
    <w:rsid w:val="001741A0"/>
    <w:rsid w:val="00175FA0"/>
    <w:rsid w:val="001761F2"/>
    <w:rsid w:val="0018542A"/>
    <w:rsid w:val="00194CD0"/>
    <w:rsid w:val="001B49C9"/>
    <w:rsid w:val="001B7B52"/>
    <w:rsid w:val="001C23F4"/>
    <w:rsid w:val="001C4F79"/>
    <w:rsid w:val="001F168B"/>
    <w:rsid w:val="001F7831"/>
    <w:rsid w:val="00204045"/>
    <w:rsid w:val="0020712B"/>
    <w:rsid w:val="0022606D"/>
    <w:rsid w:val="00231728"/>
    <w:rsid w:val="00244A05"/>
    <w:rsid w:val="00250404"/>
    <w:rsid w:val="00253D2B"/>
    <w:rsid w:val="00256B74"/>
    <w:rsid w:val="002610D8"/>
    <w:rsid w:val="002747EC"/>
    <w:rsid w:val="00281578"/>
    <w:rsid w:val="002855BF"/>
    <w:rsid w:val="002862E0"/>
    <w:rsid w:val="002968CB"/>
    <w:rsid w:val="002B2988"/>
    <w:rsid w:val="002B6F2C"/>
    <w:rsid w:val="002C62CE"/>
    <w:rsid w:val="002F0D22"/>
    <w:rsid w:val="00300E10"/>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6C3A"/>
    <w:rsid w:val="00465587"/>
    <w:rsid w:val="00477455"/>
    <w:rsid w:val="004A1F7B"/>
    <w:rsid w:val="004C44D2"/>
    <w:rsid w:val="004D3578"/>
    <w:rsid w:val="004D380D"/>
    <w:rsid w:val="004E1C33"/>
    <w:rsid w:val="004E213A"/>
    <w:rsid w:val="004E7553"/>
    <w:rsid w:val="004F4540"/>
    <w:rsid w:val="004F73A7"/>
    <w:rsid w:val="00503171"/>
    <w:rsid w:val="00503284"/>
    <w:rsid w:val="00506C28"/>
    <w:rsid w:val="00534DA0"/>
    <w:rsid w:val="00537809"/>
    <w:rsid w:val="00541144"/>
    <w:rsid w:val="00543E6C"/>
    <w:rsid w:val="00545F86"/>
    <w:rsid w:val="00565087"/>
    <w:rsid w:val="0056573F"/>
    <w:rsid w:val="00571279"/>
    <w:rsid w:val="005850A0"/>
    <w:rsid w:val="005A13AB"/>
    <w:rsid w:val="005A49C6"/>
    <w:rsid w:val="005B08A4"/>
    <w:rsid w:val="005C766E"/>
    <w:rsid w:val="005C7CD5"/>
    <w:rsid w:val="00611566"/>
    <w:rsid w:val="006234F2"/>
    <w:rsid w:val="00625877"/>
    <w:rsid w:val="00640ADB"/>
    <w:rsid w:val="00646D99"/>
    <w:rsid w:val="00656910"/>
    <w:rsid w:val="006574C0"/>
    <w:rsid w:val="00666335"/>
    <w:rsid w:val="00696821"/>
    <w:rsid w:val="006B60F7"/>
    <w:rsid w:val="006C66D8"/>
    <w:rsid w:val="006D1E24"/>
    <w:rsid w:val="006D35DE"/>
    <w:rsid w:val="006E1057"/>
    <w:rsid w:val="006E1417"/>
    <w:rsid w:val="006E66A6"/>
    <w:rsid w:val="006F6A2C"/>
    <w:rsid w:val="007069DC"/>
    <w:rsid w:val="00710201"/>
    <w:rsid w:val="0072073A"/>
    <w:rsid w:val="00723B23"/>
    <w:rsid w:val="00723C9A"/>
    <w:rsid w:val="007342B5"/>
    <w:rsid w:val="00734A5B"/>
    <w:rsid w:val="00744E76"/>
    <w:rsid w:val="007554B2"/>
    <w:rsid w:val="00757D40"/>
    <w:rsid w:val="007662B5"/>
    <w:rsid w:val="00781F0F"/>
    <w:rsid w:val="0078727C"/>
    <w:rsid w:val="0079049D"/>
    <w:rsid w:val="00793DC5"/>
    <w:rsid w:val="00796823"/>
    <w:rsid w:val="007A1378"/>
    <w:rsid w:val="007A2E55"/>
    <w:rsid w:val="007B18D8"/>
    <w:rsid w:val="007C095F"/>
    <w:rsid w:val="007C2DD0"/>
    <w:rsid w:val="007E266F"/>
    <w:rsid w:val="007F2E08"/>
    <w:rsid w:val="008024FA"/>
    <w:rsid w:val="008028A4"/>
    <w:rsid w:val="00806289"/>
    <w:rsid w:val="00813245"/>
    <w:rsid w:val="00840DE0"/>
    <w:rsid w:val="00842AA6"/>
    <w:rsid w:val="00847CD0"/>
    <w:rsid w:val="008607A8"/>
    <w:rsid w:val="0086354A"/>
    <w:rsid w:val="008768CA"/>
    <w:rsid w:val="00877EF9"/>
    <w:rsid w:val="00880559"/>
    <w:rsid w:val="00897E42"/>
    <w:rsid w:val="008B5306"/>
    <w:rsid w:val="008B54E8"/>
    <w:rsid w:val="008C2E2A"/>
    <w:rsid w:val="008C3057"/>
    <w:rsid w:val="008D2E4D"/>
    <w:rsid w:val="008F1662"/>
    <w:rsid w:val="008F396F"/>
    <w:rsid w:val="008F3DCD"/>
    <w:rsid w:val="0090271F"/>
    <w:rsid w:val="00902DB9"/>
    <w:rsid w:val="0090466A"/>
    <w:rsid w:val="00905E5A"/>
    <w:rsid w:val="009122D5"/>
    <w:rsid w:val="009147F4"/>
    <w:rsid w:val="00923655"/>
    <w:rsid w:val="009248C6"/>
    <w:rsid w:val="009321BE"/>
    <w:rsid w:val="009339CB"/>
    <w:rsid w:val="00936071"/>
    <w:rsid w:val="009376CD"/>
    <w:rsid w:val="00940212"/>
    <w:rsid w:val="00942EC2"/>
    <w:rsid w:val="00961B32"/>
    <w:rsid w:val="00962509"/>
    <w:rsid w:val="00970DB3"/>
    <w:rsid w:val="00974BB0"/>
    <w:rsid w:val="00975BCD"/>
    <w:rsid w:val="00980729"/>
    <w:rsid w:val="009818A2"/>
    <w:rsid w:val="009928A9"/>
    <w:rsid w:val="009A0AF3"/>
    <w:rsid w:val="009A4C4D"/>
    <w:rsid w:val="009B07CD"/>
    <w:rsid w:val="009C19E9"/>
    <w:rsid w:val="009D6802"/>
    <w:rsid w:val="009D74A6"/>
    <w:rsid w:val="009E0E87"/>
    <w:rsid w:val="009E4F71"/>
    <w:rsid w:val="00A10F02"/>
    <w:rsid w:val="00A17176"/>
    <w:rsid w:val="00A204CA"/>
    <w:rsid w:val="00A209D6"/>
    <w:rsid w:val="00A22738"/>
    <w:rsid w:val="00A36F5F"/>
    <w:rsid w:val="00A430EC"/>
    <w:rsid w:val="00A53724"/>
    <w:rsid w:val="00A54B2B"/>
    <w:rsid w:val="00A703B6"/>
    <w:rsid w:val="00A82346"/>
    <w:rsid w:val="00A9671C"/>
    <w:rsid w:val="00AA1553"/>
    <w:rsid w:val="00AD7E7C"/>
    <w:rsid w:val="00AE3735"/>
    <w:rsid w:val="00B05380"/>
    <w:rsid w:val="00B05962"/>
    <w:rsid w:val="00B15449"/>
    <w:rsid w:val="00B16C2F"/>
    <w:rsid w:val="00B2005E"/>
    <w:rsid w:val="00B24C7E"/>
    <w:rsid w:val="00B27303"/>
    <w:rsid w:val="00B47FD1"/>
    <w:rsid w:val="00B516BB"/>
    <w:rsid w:val="00B669E9"/>
    <w:rsid w:val="00B7538C"/>
    <w:rsid w:val="00B84DB2"/>
    <w:rsid w:val="00B92FB4"/>
    <w:rsid w:val="00BB7A62"/>
    <w:rsid w:val="00BC3555"/>
    <w:rsid w:val="00C064D8"/>
    <w:rsid w:val="00C12B51"/>
    <w:rsid w:val="00C24650"/>
    <w:rsid w:val="00C25465"/>
    <w:rsid w:val="00C31806"/>
    <w:rsid w:val="00C33079"/>
    <w:rsid w:val="00C45FCF"/>
    <w:rsid w:val="00C55A12"/>
    <w:rsid w:val="00C6553E"/>
    <w:rsid w:val="00C83A13"/>
    <w:rsid w:val="00C84CE4"/>
    <w:rsid w:val="00C86F10"/>
    <w:rsid w:val="00C9068C"/>
    <w:rsid w:val="00C92967"/>
    <w:rsid w:val="00CA3D0C"/>
    <w:rsid w:val="00CA654B"/>
    <w:rsid w:val="00CB72B8"/>
    <w:rsid w:val="00CD0BA8"/>
    <w:rsid w:val="00CD4C7B"/>
    <w:rsid w:val="00CD58FE"/>
    <w:rsid w:val="00CE15A8"/>
    <w:rsid w:val="00D12FD1"/>
    <w:rsid w:val="00D2298B"/>
    <w:rsid w:val="00D33BE3"/>
    <w:rsid w:val="00D3792D"/>
    <w:rsid w:val="00D43425"/>
    <w:rsid w:val="00D54820"/>
    <w:rsid w:val="00D55E47"/>
    <w:rsid w:val="00D62E19"/>
    <w:rsid w:val="00D67CD1"/>
    <w:rsid w:val="00D738D6"/>
    <w:rsid w:val="00D80795"/>
    <w:rsid w:val="00D854BE"/>
    <w:rsid w:val="00D87E00"/>
    <w:rsid w:val="00D9134D"/>
    <w:rsid w:val="00D96D11"/>
    <w:rsid w:val="00DA7A03"/>
    <w:rsid w:val="00DB0DB8"/>
    <w:rsid w:val="00DB1818"/>
    <w:rsid w:val="00DC24D0"/>
    <w:rsid w:val="00DC309B"/>
    <w:rsid w:val="00DC4DA2"/>
    <w:rsid w:val="00DC5261"/>
    <w:rsid w:val="00DD1054"/>
    <w:rsid w:val="00DE25D2"/>
    <w:rsid w:val="00DF62CF"/>
    <w:rsid w:val="00DF7C20"/>
    <w:rsid w:val="00E038FB"/>
    <w:rsid w:val="00E46C08"/>
    <w:rsid w:val="00E471CF"/>
    <w:rsid w:val="00E62835"/>
    <w:rsid w:val="00E6480E"/>
    <w:rsid w:val="00E76C09"/>
    <w:rsid w:val="00E77645"/>
    <w:rsid w:val="00E83697"/>
    <w:rsid w:val="00E859B6"/>
    <w:rsid w:val="00EA66C9"/>
    <w:rsid w:val="00EB5D32"/>
    <w:rsid w:val="00EC4A25"/>
    <w:rsid w:val="00EF612C"/>
    <w:rsid w:val="00F025A2"/>
    <w:rsid w:val="00F036E9"/>
    <w:rsid w:val="00F07388"/>
    <w:rsid w:val="00F2026E"/>
    <w:rsid w:val="00F20900"/>
    <w:rsid w:val="00F2210A"/>
    <w:rsid w:val="00F31372"/>
    <w:rsid w:val="00F37743"/>
    <w:rsid w:val="00F42493"/>
    <w:rsid w:val="00F535EF"/>
    <w:rsid w:val="00F54A3D"/>
    <w:rsid w:val="00F54CB0"/>
    <w:rsid w:val="00F579CD"/>
    <w:rsid w:val="00F653B8"/>
    <w:rsid w:val="00F71B89"/>
    <w:rsid w:val="00F720F5"/>
    <w:rsid w:val="00F7353C"/>
    <w:rsid w:val="00F7443B"/>
    <w:rsid w:val="00F7602C"/>
    <w:rsid w:val="00F76F8F"/>
    <w:rsid w:val="00F87048"/>
    <w:rsid w:val="00F87257"/>
    <w:rsid w:val="00F941DF"/>
    <w:rsid w:val="00FA1266"/>
    <w:rsid w:val="00FB36FA"/>
    <w:rsid w:val="00FC1192"/>
    <w:rsid w:val="00FD2FF0"/>
    <w:rsid w:val="00FE106D"/>
    <w:rsid w:val="00FE251B"/>
    <w:rsid w:val="00FF79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C72C8930-51F2-4993-9CAC-0CA04A5D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53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535EF"/>
    <w:pPr>
      <w:spacing w:before="100" w:beforeAutospacing="1" w:after="100" w:afterAutospacing="1"/>
    </w:pPr>
    <w:rPr>
      <w:sz w:val="24"/>
      <w:szCs w:val="24"/>
      <w:lang w:val="en-US"/>
    </w:rPr>
  </w:style>
  <w:style w:type="character" w:customStyle="1" w:styleId="cf01">
    <w:name w:val="cf01"/>
    <w:basedOn w:val="DefaultParagraphFont"/>
    <w:rsid w:val="00F535EF"/>
    <w:rPr>
      <w:rFonts w:ascii="Segoe UI" w:hAnsi="Segoe UI" w:cs="Segoe UI" w:hint="default"/>
      <w:sz w:val="18"/>
      <w:szCs w:val="18"/>
    </w:rPr>
  </w:style>
  <w:style w:type="character" w:styleId="CommentReference">
    <w:name w:val="annotation reference"/>
    <w:basedOn w:val="DefaultParagraphFont"/>
    <w:rsid w:val="009D680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29130">
      <w:bodyDiv w:val="1"/>
      <w:marLeft w:val="0"/>
      <w:marRight w:val="0"/>
      <w:marTop w:val="0"/>
      <w:marBottom w:val="0"/>
      <w:divBdr>
        <w:top w:val="none" w:sz="0" w:space="0" w:color="auto"/>
        <w:left w:val="none" w:sz="0" w:space="0" w:color="auto"/>
        <w:bottom w:val="none" w:sz="0" w:space="0" w:color="auto"/>
        <w:right w:val="none" w:sz="0" w:space="0" w:color="auto"/>
      </w:divBdr>
    </w:div>
    <w:div w:id="160897872">
      <w:bodyDiv w:val="1"/>
      <w:marLeft w:val="0"/>
      <w:marRight w:val="0"/>
      <w:marTop w:val="0"/>
      <w:marBottom w:val="0"/>
      <w:divBdr>
        <w:top w:val="none" w:sz="0" w:space="0" w:color="auto"/>
        <w:left w:val="none" w:sz="0" w:space="0" w:color="auto"/>
        <w:bottom w:val="none" w:sz="0" w:space="0" w:color="auto"/>
        <w:right w:val="none" w:sz="0" w:space="0" w:color="auto"/>
      </w:divBdr>
    </w:div>
    <w:div w:id="793838913">
      <w:bodyDiv w:val="1"/>
      <w:marLeft w:val="0"/>
      <w:marRight w:val="0"/>
      <w:marTop w:val="0"/>
      <w:marBottom w:val="0"/>
      <w:divBdr>
        <w:top w:val="none" w:sz="0" w:space="0" w:color="auto"/>
        <w:left w:val="none" w:sz="0" w:space="0" w:color="auto"/>
        <w:bottom w:val="none" w:sz="0" w:space="0" w:color="auto"/>
        <w:right w:val="none" w:sz="0" w:space="0" w:color="auto"/>
      </w:divBdr>
    </w:div>
    <w:div w:id="870920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40846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992729">
      <w:bodyDiv w:val="1"/>
      <w:marLeft w:val="0"/>
      <w:marRight w:val="0"/>
      <w:marTop w:val="0"/>
      <w:marBottom w:val="0"/>
      <w:divBdr>
        <w:top w:val="none" w:sz="0" w:space="0" w:color="auto"/>
        <w:left w:val="none" w:sz="0" w:space="0" w:color="auto"/>
        <w:bottom w:val="none" w:sz="0" w:space="0" w:color="auto"/>
        <w:right w:val="none" w:sz="0" w:space="0" w:color="auto"/>
      </w:divBdr>
    </w:div>
    <w:div w:id="1476750980">
      <w:bodyDiv w:val="1"/>
      <w:marLeft w:val="0"/>
      <w:marRight w:val="0"/>
      <w:marTop w:val="0"/>
      <w:marBottom w:val="0"/>
      <w:divBdr>
        <w:top w:val="none" w:sz="0" w:space="0" w:color="auto"/>
        <w:left w:val="none" w:sz="0" w:space="0" w:color="auto"/>
        <w:bottom w:val="none" w:sz="0" w:space="0" w:color="auto"/>
        <w:right w:val="none" w:sz="0" w:space="0" w:color="auto"/>
      </w:divBdr>
    </w:div>
    <w:div w:id="1789547918">
      <w:bodyDiv w:val="1"/>
      <w:marLeft w:val="0"/>
      <w:marRight w:val="0"/>
      <w:marTop w:val="0"/>
      <w:marBottom w:val="0"/>
      <w:divBdr>
        <w:top w:val="none" w:sz="0" w:space="0" w:color="auto"/>
        <w:left w:val="none" w:sz="0" w:space="0" w:color="auto"/>
        <w:bottom w:val="none" w:sz="0" w:space="0" w:color="auto"/>
        <w:right w:val="none" w:sz="0" w:space="0" w:color="auto"/>
      </w:divBdr>
    </w:div>
    <w:div w:id="1989675472">
      <w:bodyDiv w:val="1"/>
      <w:marLeft w:val="0"/>
      <w:marRight w:val="0"/>
      <w:marTop w:val="0"/>
      <w:marBottom w:val="0"/>
      <w:divBdr>
        <w:top w:val="none" w:sz="0" w:space="0" w:color="auto"/>
        <w:left w:val="none" w:sz="0" w:space="0" w:color="auto"/>
        <w:bottom w:val="none" w:sz="0" w:space="0" w:color="auto"/>
        <w:right w:val="none" w:sz="0" w:space="0" w:color="auto"/>
      </w:divBdr>
    </w:div>
    <w:div w:id="2047564722">
      <w:bodyDiv w:val="1"/>
      <w:marLeft w:val="0"/>
      <w:marRight w:val="0"/>
      <w:marTop w:val="0"/>
      <w:marBottom w:val="0"/>
      <w:divBdr>
        <w:top w:val="none" w:sz="0" w:space="0" w:color="auto"/>
        <w:left w:val="none" w:sz="0" w:space="0" w:color="auto"/>
        <w:bottom w:val="none" w:sz="0" w:space="0" w:color="auto"/>
        <w:right w:val="none" w:sz="0" w:space="0" w:color="auto"/>
      </w:divBdr>
    </w:div>
    <w:div w:id="2096432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RBI5PAMIO524-1616901215-9152</_dlc_DocId>
    <_dlc_DocIdUrl xmlns="71c5aaf6-e6ce-465b-b873-5148d2a4c105">
      <Url>https://nokia.sharepoint.com/sites/gxp/_layouts/15/DocIdRedir.aspx?ID=RBI5PAMIO524-1616901215-9152</Url>
      <Description>RBI5PAMIO524-1616901215-9152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3C76415-91B8-4B95-87E9-C46F6142C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terms/"/>
    <ds:schemaRef ds:uri="http://schemas.openxmlformats.org/package/2006/metadata/core-properties"/>
    <ds:schemaRef ds:uri="71c5aaf6-e6ce-465b-b873-5148d2a4c105"/>
    <ds:schemaRef ds:uri="http://schemas.microsoft.com/office/2006/documentManagement/types"/>
    <ds:schemaRef ds:uri="http://purl.org/dc/elements/1.1/"/>
    <ds:schemaRef ds:uri="http://schemas.microsoft.com/office/infopath/2007/PartnerControls"/>
    <ds:schemaRef ds:uri="http://schemas.microsoft.com/office/2006/metadata/propertie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E57013CB-D1BA-4B5F-BD08-72F23D10FF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899</TotalTime>
  <Pages>2</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43</cp:revision>
  <dcterms:created xsi:type="dcterms:W3CDTF">2024-02-07T03:46:00Z</dcterms:created>
  <dcterms:modified xsi:type="dcterms:W3CDTF">2024-02-19T09:02:00Z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68d6ec62-827f-47d6-8f30-6fd7784a78b2</vt:lpwstr>
  </property>
  <property fmtid="{D5CDD505-2E9C-101B-9397-08002B2CF9AE}" pid="4" name="MediaServiceImageTags">
    <vt:lpwstr/>
  </property>
</Properties>
</file>